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6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015"/>
        <w:gridCol w:w="3402"/>
        <w:gridCol w:w="1655"/>
      </w:tblGrid>
      <w:tr w:rsidR="007C6A10" w:rsidRPr="007C6A10" w:rsidTr="00A51374">
        <w:tc>
          <w:tcPr>
            <w:tcW w:w="1134" w:type="dxa"/>
            <w:vMerge w:val="restart"/>
          </w:tcPr>
          <w:p w:rsidR="007C6A10" w:rsidRPr="002A6CF2" w:rsidRDefault="007C6A10" w:rsidP="00A51374">
            <w:pPr>
              <w:pStyle w:val="a8"/>
            </w:pPr>
            <w:r w:rsidRPr="003706A4">
              <w:rPr>
                <w:rFonts w:ascii="Tahoma" w:hAnsi="Tahoma" w:cs="Tahoma"/>
                <w:noProof/>
                <w:sz w:val="16"/>
                <w:szCs w:val="16"/>
                <w:lang w:val="en-US"/>
              </w:rPr>
              <w:drawing>
                <wp:inline distT="0" distB="0" distL="0" distR="0" wp14:anchorId="3298FDBC" wp14:editId="324AE09A">
                  <wp:extent cx="600075" cy="7239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gridSpan w:val="3"/>
          </w:tcPr>
          <w:p w:rsidR="007C6A10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7C6A10" w:rsidRPr="002A6CF2" w:rsidRDefault="007C6A10" w:rsidP="00A51374">
            <w:pPr>
              <w:pStyle w:val="a8"/>
              <w:jc w:val="center"/>
              <w:rPr>
                <w:rFonts w:ascii="Tahoma" w:hAnsi="Tahoma" w:cs="Tahoma"/>
                <w:b/>
                <w:sz w:val="17"/>
                <w:szCs w:val="17"/>
                <w:lang w:val="kk-KZ"/>
              </w:rPr>
            </w:pPr>
            <w:r w:rsidRPr="002A6CF2">
              <w:rPr>
                <w:rFonts w:ascii="Tahoma" w:hAnsi="Tahoma" w:cs="Tahoma"/>
                <w:b/>
                <w:bCs/>
                <w:sz w:val="17"/>
                <w:szCs w:val="17"/>
                <w:lang w:val="kk-KZ"/>
              </w:rPr>
              <w:t>“S.J. ASFENDIYAROV ATYNDAGY KAZAK ULTTYK MEDICINE UNIVERSITY» KEAK</w:t>
            </w:r>
          </w:p>
          <w:p w:rsidR="007C6A10" w:rsidRPr="002A6CF2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A6CF2">
              <w:rPr>
                <w:rFonts w:ascii="Tahoma" w:hAnsi="Tahoma" w:cs="Tahoma"/>
                <w:b/>
                <w:sz w:val="17"/>
                <w:szCs w:val="17"/>
                <w:lang w:val="kk-KZ"/>
              </w:rPr>
              <w:t xml:space="preserve">NAO </w:t>
            </w:r>
            <w:r w:rsidRPr="002A6CF2">
              <w:rPr>
                <w:rFonts w:ascii="Tahoma" w:hAnsi="Tahoma" w:cs="Tahoma"/>
                <w:b/>
                <w:sz w:val="17"/>
                <w:szCs w:val="17"/>
              </w:rPr>
              <w:t xml:space="preserve">" </w:t>
            </w:r>
            <w:r w:rsidRPr="002A6CF2">
              <w:rPr>
                <w:rFonts w:ascii="Tahoma" w:hAnsi="Tahoma" w:cs="Tahoma"/>
                <w:b/>
                <w:sz w:val="17"/>
                <w:szCs w:val="17"/>
                <w:lang w:val="kk-KZ"/>
              </w:rPr>
              <w:t xml:space="preserve">KAZAKH NATIONAL </w:t>
            </w:r>
            <w:r w:rsidRPr="002A6CF2">
              <w:rPr>
                <w:rFonts w:ascii="Tahoma" w:hAnsi="Tahoma" w:cs="Tahoma"/>
                <w:b/>
                <w:sz w:val="17"/>
                <w:szCs w:val="17"/>
              </w:rPr>
              <w:t xml:space="preserve">MEDICAL UNIVERSITY </w:t>
            </w:r>
            <w:r w:rsidRPr="002A6CF2">
              <w:rPr>
                <w:rFonts w:ascii="Tahoma" w:hAnsi="Tahoma" w:cs="Tahoma"/>
                <w:b/>
                <w:sz w:val="17"/>
                <w:szCs w:val="17"/>
                <w:lang w:val="kk-KZ"/>
              </w:rPr>
              <w:t xml:space="preserve">NAMED AFTER S.D. ASFENDIYAROV </w:t>
            </w:r>
            <w:r w:rsidRPr="002A6CF2">
              <w:rPr>
                <w:rFonts w:ascii="Tahoma" w:hAnsi="Tahoma" w:cs="Tahoma"/>
                <w:b/>
                <w:sz w:val="17"/>
                <w:szCs w:val="17"/>
              </w:rPr>
              <w:t>"</w:t>
            </w:r>
          </w:p>
        </w:tc>
      </w:tr>
      <w:tr w:rsidR="007C6A10" w:rsidRPr="002A6CF2" w:rsidTr="00A51374">
        <w:trPr>
          <w:trHeight w:val="264"/>
        </w:trPr>
        <w:tc>
          <w:tcPr>
            <w:tcW w:w="1134" w:type="dxa"/>
            <w:vMerge/>
          </w:tcPr>
          <w:p w:rsidR="007C6A10" w:rsidRPr="002A6CF2" w:rsidRDefault="007C6A10" w:rsidP="00A51374">
            <w:pPr>
              <w:pStyle w:val="a8"/>
            </w:pPr>
          </w:p>
        </w:tc>
        <w:tc>
          <w:tcPr>
            <w:tcW w:w="4015" w:type="dxa"/>
            <w:vMerge w:val="restart"/>
          </w:tcPr>
          <w:p w:rsidR="007C6A10" w:rsidRPr="001634B3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:rsidR="007C6A10" w:rsidRPr="001634B3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Department of Communication Skills</w:t>
            </w:r>
          </w:p>
        </w:tc>
        <w:tc>
          <w:tcPr>
            <w:tcW w:w="3402" w:type="dxa"/>
            <w:vMerge w:val="restart"/>
          </w:tcPr>
          <w:p w:rsidR="007C6A10" w:rsidRPr="001634B3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:rsidR="007C6A10" w:rsidRPr="001634B3" w:rsidRDefault="0002740C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The work process of the department</w:t>
            </w:r>
          </w:p>
        </w:tc>
        <w:tc>
          <w:tcPr>
            <w:tcW w:w="1655" w:type="dxa"/>
          </w:tcPr>
          <w:p w:rsidR="007C6A10" w:rsidRPr="00400557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t xml:space="preserve">Edition: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kk-KZ"/>
              </w:rPr>
              <w:t>1</w:t>
            </w:r>
          </w:p>
        </w:tc>
      </w:tr>
      <w:tr w:rsidR="007C6A10" w:rsidRPr="002A6CF2" w:rsidTr="00A51374">
        <w:trPr>
          <w:trHeight w:val="205"/>
        </w:trPr>
        <w:tc>
          <w:tcPr>
            <w:tcW w:w="1134" w:type="dxa"/>
            <w:vMerge/>
          </w:tcPr>
          <w:p w:rsidR="007C6A10" w:rsidRPr="002A6CF2" w:rsidRDefault="007C6A10" w:rsidP="00A51374">
            <w:pPr>
              <w:pStyle w:val="a8"/>
            </w:pPr>
          </w:p>
        </w:tc>
        <w:tc>
          <w:tcPr>
            <w:tcW w:w="4015" w:type="dxa"/>
            <w:vMerge/>
          </w:tcPr>
          <w:p w:rsidR="007C6A10" w:rsidRPr="002A6CF2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402" w:type="dxa"/>
            <w:vMerge/>
          </w:tcPr>
          <w:p w:rsidR="007C6A10" w:rsidRPr="002A6CF2" w:rsidRDefault="007C6A10" w:rsidP="00A51374">
            <w:pPr>
              <w:pStyle w:val="a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655" w:type="dxa"/>
          </w:tcPr>
          <w:p w:rsidR="007C6A10" w:rsidRPr="00400557" w:rsidRDefault="007C6A10" w:rsidP="00A51374">
            <w:pPr>
              <w:pStyle w:val="a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t xml:space="preserve">Page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fldChar w:fldCharType="begin"/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instrText>PAGE  \* Arabic  \* MERGEFORMAT</w:instrTex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t xml:space="preserve">1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en-US"/>
              </w:rPr>
              <w:fldChar w:fldCharType="end"/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t>of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  <w:lang w:val="kk-KZ"/>
              </w:rPr>
              <w:t xml:space="preserve"> </w: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fldChar w:fldCharType="begin"/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instrText>NUMPAGES  \* Arabic  \* MERGEFORMAT</w:instrText>
            </w:r>
            <w:r w:rsidRPr="00400557">
              <w:rPr>
                <w:rFonts w:ascii="Times New Roman" w:hAnsi="Times New Roman" w:cs="Times New Roman"/>
                <w:color w:val="7030A0"/>
                <w:sz w:val="17"/>
                <w:szCs w:val="17"/>
              </w:rPr>
              <w:fldChar w:fldCharType="separate"/>
            </w:r>
            <w:r w:rsidRPr="00AE362F"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t>2</w:t>
            </w:r>
            <w:r w:rsidRPr="00400557">
              <w:rPr>
                <w:rFonts w:ascii="Times New Roman" w:hAnsi="Times New Roman" w:cs="Times New Roman"/>
                <w:noProof/>
                <w:color w:val="7030A0"/>
                <w:sz w:val="17"/>
                <w:szCs w:val="17"/>
                <w:lang w:val="en-US"/>
              </w:rPr>
              <w:fldChar w:fldCharType="end"/>
            </w:r>
          </w:p>
        </w:tc>
      </w:tr>
    </w:tbl>
    <w:p w:rsidR="00352F8C" w:rsidRDefault="002134B2"/>
    <w:p w:rsidR="008261A7" w:rsidRPr="002134B2" w:rsidRDefault="008261A7" w:rsidP="008261A7">
      <w:pPr>
        <w:jc w:val="center"/>
        <w:rPr>
          <w:rFonts w:ascii="Times New Roman" w:hAnsi="Times New Roman" w:cs="Times New Roman"/>
          <w:b/>
          <w:lang w:val="en-US"/>
        </w:rPr>
      </w:pPr>
      <w:r w:rsidRPr="002134B2">
        <w:rPr>
          <w:rFonts w:ascii="Times New Roman" w:hAnsi="Times New Roman" w:cs="Times New Roman"/>
          <w:b/>
          <w:lang w:val="en-US"/>
        </w:rPr>
        <w:t>The work process of the department</w:t>
      </w:r>
    </w:p>
    <w:p w:rsidR="008261A7" w:rsidRPr="002134B2" w:rsidRDefault="008261A7" w:rsidP="008261A7">
      <w:pPr>
        <w:jc w:val="center"/>
        <w:rPr>
          <w:rFonts w:ascii="Times New Roman" w:hAnsi="Times New Roman" w:cs="Times New Roman"/>
          <w:b/>
          <w:lang w:val="en-US"/>
        </w:rPr>
      </w:pPr>
    </w:p>
    <w:p w:rsidR="002134B2" w:rsidRDefault="002134B2" w:rsidP="002134B2">
      <w:pPr>
        <w:pStyle w:val="isselectedend"/>
      </w:pPr>
      <w:r>
        <w:t>The Department of Comm</w:t>
      </w:r>
      <w:r>
        <w:t xml:space="preserve">unication Skills is located at: </w:t>
      </w:r>
      <w:r>
        <w:t xml:space="preserve">151 </w:t>
      </w:r>
      <w:proofErr w:type="spellStart"/>
      <w:r>
        <w:t>Bogenbay</w:t>
      </w:r>
      <w:proofErr w:type="spellEnd"/>
      <w:r>
        <w:t xml:space="preserve"> </w:t>
      </w:r>
      <w:proofErr w:type="spellStart"/>
      <w:r>
        <w:t>Batyr</w:t>
      </w:r>
      <w:proofErr w:type="spellEnd"/>
      <w:r>
        <w:t xml:space="preserve"> Street, Academic Building 2, 4th floor, Room 405, Almaty.</w:t>
      </w:r>
    </w:p>
    <w:p w:rsidR="002134B2" w:rsidRDefault="002134B2" w:rsidP="002134B2">
      <w:pPr>
        <w:pStyle w:val="isselectedend"/>
      </w:pPr>
      <w:r>
        <w:t>The Department has 2 classrooms and also conducts teaching activities at 6 clinical sites. It is fully equipped with all the facilities and resources required for the educational process. Faculty members use interactive whiteboards, projectors, televisions, and other technical teaching aids.</w:t>
      </w:r>
    </w:p>
    <w:p w:rsidR="002134B2" w:rsidRDefault="002134B2" w:rsidP="002134B2">
      <w:pPr>
        <w:pStyle w:val="isselectedend"/>
      </w:pPr>
      <w:r>
        <w:t>The Department has 14 full-time staff members.</w:t>
      </w:r>
    </w:p>
    <w:p w:rsidR="002134B2" w:rsidRDefault="002134B2" w:rsidP="002134B2">
      <w:pPr>
        <w:pStyle w:val="isselectedend"/>
      </w:pPr>
      <w:r>
        <w:t>They include:</w:t>
      </w:r>
    </w:p>
    <w:p w:rsidR="002134B2" w:rsidRDefault="002134B2" w:rsidP="002134B2">
      <w:pPr>
        <w:pStyle w:val="isselectedend"/>
        <w:numPr>
          <w:ilvl w:val="0"/>
          <w:numId w:val="1"/>
        </w:numPr>
      </w:pPr>
      <w:r>
        <w:t>PhD holders – 3</w:t>
      </w:r>
    </w:p>
    <w:p w:rsidR="002134B2" w:rsidRDefault="002134B2" w:rsidP="002134B2">
      <w:pPr>
        <w:pStyle w:val="isselectedend"/>
        <w:numPr>
          <w:ilvl w:val="0"/>
          <w:numId w:val="1"/>
        </w:numPr>
      </w:pPr>
      <w:r>
        <w:t>Professor – 1</w:t>
      </w:r>
    </w:p>
    <w:p w:rsidR="002134B2" w:rsidRDefault="002134B2" w:rsidP="002134B2">
      <w:pPr>
        <w:pStyle w:val="isselectedend"/>
        <w:numPr>
          <w:ilvl w:val="0"/>
          <w:numId w:val="1"/>
        </w:numPr>
      </w:pPr>
      <w:r>
        <w:t>Master’s degree holders – 10</w:t>
      </w:r>
    </w:p>
    <w:p w:rsidR="002134B2" w:rsidRDefault="002134B2" w:rsidP="002134B2">
      <w:pPr>
        <w:pStyle w:val="isselectedend"/>
      </w:pPr>
      <w:r>
        <w:t>The Department’s teaching workload amounts to 19.75 full-time equivalent (FTE) positions.</w:t>
      </w:r>
    </w:p>
    <w:p w:rsidR="002134B2" w:rsidRDefault="002134B2" w:rsidP="002134B2">
      <w:pPr>
        <w:pStyle w:val="isselectedend"/>
      </w:pPr>
      <w:r>
        <w:t>The Department conducts practical classes at the bachelor’s, master’s, doctoral, and residency levels.</w:t>
      </w:r>
      <w:bookmarkStart w:id="0" w:name="_GoBack"/>
      <w:bookmarkEnd w:id="0"/>
    </w:p>
    <w:p w:rsidR="002134B2" w:rsidRPr="002134B2" w:rsidRDefault="002134B2" w:rsidP="002134B2">
      <w:pPr>
        <w:pStyle w:val="aa"/>
      </w:pPr>
      <w:r>
        <w:t xml:space="preserve">The </w:t>
      </w:r>
      <w:r w:rsidRPr="002134B2">
        <w:t>Department is a graduating department and implements a double-degree educational program in Clinical Psychology in cooperation with the Kazakh National Women’s Teacher Training University. The first cohort of bachelor’s degree students is expected to graduate in 2027.</w:t>
      </w:r>
    </w:p>
    <w:p w:rsidR="008261A7" w:rsidRPr="002134B2" w:rsidRDefault="008261A7" w:rsidP="008261A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134B2">
        <w:rPr>
          <w:rFonts w:ascii="Times New Roman" w:hAnsi="Times New Roman" w:cs="Times New Roman"/>
          <w:sz w:val="24"/>
          <w:szCs w:val="24"/>
          <w:lang w:val="en-US"/>
        </w:rPr>
        <w:t>All classes are held in the form of practical exercises; lectures are not provided.</w:t>
      </w:r>
    </w:p>
    <w:p w:rsidR="008261A7" w:rsidRPr="002134B2" w:rsidRDefault="008261A7" w:rsidP="008261A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134B2">
        <w:rPr>
          <w:rFonts w:ascii="Times New Roman" w:hAnsi="Times New Roman" w:cs="Times New Roman"/>
          <w:sz w:val="24"/>
          <w:szCs w:val="24"/>
        </w:rPr>
        <w:t>Format :</w:t>
      </w:r>
      <w:proofErr w:type="gramEnd"/>
      <w:r w:rsidRPr="002134B2">
        <w:rPr>
          <w:rFonts w:ascii="Times New Roman" w:hAnsi="Times New Roman" w:cs="Times New Roman"/>
          <w:sz w:val="24"/>
          <w:szCs w:val="24"/>
        </w:rPr>
        <w:t xml:space="preserve"> offline .</w:t>
      </w:r>
    </w:p>
    <w:p w:rsidR="008261A7" w:rsidRPr="00FD5328" w:rsidRDefault="008261A7" w:rsidP="008261A7">
      <w:pPr>
        <w:rPr>
          <w:rFonts w:ascii="Times New Roman" w:hAnsi="Times New Roman" w:cs="Times New Roman"/>
        </w:rPr>
      </w:pPr>
    </w:p>
    <w:p w:rsidR="008261A7" w:rsidRDefault="008261A7"/>
    <w:sectPr w:rsidR="008261A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C6BD3"/>
    <w:multiLevelType w:val="hybridMultilevel"/>
    <w:tmpl w:val="8312E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4BD"/>
    <w:rsid w:val="0002740C"/>
    <w:rsid w:val="00107D89"/>
    <w:rsid w:val="00207B1A"/>
    <w:rsid w:val="002134B2"/>
    <w:rsid w:val="003844BD"/>
    <w:rsid w:val="007C6A10"/>
    <w:rsid w:val="008261A7"/>
    <w:rsid w:val="00EA4370"/>
    <w:rsid w:val="00EC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60150"/>
  <w15:chartTrackingRefBased/>
  <w15:docId w15:val="{8155E9C4-CFD1-4565-B403-E6F1C7CF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4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844BD"/>
    <w:rPr>
      <w:b/>
      <w:bCs/>
    </w:rPr>
  </w:style>
  <w:style w:type="character" w:styleId="a5">
    <w:name w:val="Hyperlink"/>
    <w:basedOn w:val="a0"/>
    <w:uiPriority w:val="99"/>
    <w:semiHidden/>
    <w:unhideWhenUsed/>
    <w:rsid w:val="003844BD"/>
    <w:rPr>
      <w:color w:val="0000FF"/>
      <w:u w:val="single"/>
    </w:rPr>
  </w:style>
  <w:style w:type="character" w:styleId="a6">
    <w:name w:val="Emphasis"/>
    <w:basedOn w:val="a0"/>
    <w:uiPriority w:val="20"/>
    <w:qFormat/>
    <w:rsid w:val="003844BD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3844BD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7C6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C6A10"/>
    <w:rPr>
      <w:lang w:val="en"/>
    </w:rPr>
  </w:style>
  <w:style w:type="paragraph" w:customStyle="1" w:styleId="isselectedend">
    <w:name w:val="isselectedend"/>
    <w:basedOn w:val="a"/>
    <w:rsid w:val="0021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Normal (Web)"/>
    <w:basedOn w:val="a"/>
    <w:uiPriority w:val="99"/>
    <w:semiHidden/>
    <w:unhideWhenUsed/>
    <w:rsid w:val="0021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4</cp:revision>
  <dcterms:created xsi:type="dcterms:W3CDTF">2026-10-07T06:55:00Z</dcterms:created>
  <dcterms:modified xsi:type="dcterms:W3CDTF">2026-10-07T07:11:00Z</dcterms:modified>
</cp:coreProperties>
</file>